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8A5" w:rsidRDefault="007B38A5" w:rsidP="007B38A5">
      <w:pPr>
        <w:jc w:val="right"/>
        <w:rPr>
          <w:b/>
          <w:bCs/>
        </w:rPr>
      </w:pPr>
      <w:r>
        <w:rPr>
          <w:b/>
          <w:bCs/>
        </w:rPr>
        <w:t>Приложение 2.1</w:t>
      </w:r>
    </w:p>
    <w:p w:rsidR="007B38A5" w:rsidRDefault="007B38A5">
      <w:pPr>
        <w:jc w:val="center"/>
        <w:rPr>
          <w:b/>
          <w:bCs/>
        </w:rPr>
      </w:pPr>
    </w:p>
    <w:p w:rsidR="007B38A5" w:rsidRDefault="007B38A5">
      <w:pPr>
        <w:jc w:val="center"/>
        <w:rPr>
          <w:b/>
          <w:bCs/>
        </w:rPr>
      </w:pPr>
      <w:bookmarkStart w:id="0" w:name="_GoBack"/>
      <w:bookmarkEnd w:id="0"/>
    </w:p>
    <w:p w:rsidR="00A4783E" w:rsidRDefault="00EA5BA8">
      <w:pPr>
        <w:jc w:val="center"/>
        <w:rPr>
          <w:b/>
          <w:bCs/>
        </w:rPr>
      </w:pPr>
      <w:r>
        <w:rPr>
          <w:b/>
          <w:bCs/>
        </w:rPr>
        <w:t xml:space="preserve">План мероприятий, необходимых для перевода очных обращений граждан </w:t>
      </w:r>
    </w:p>
    <w:p w:rsidR="00A4783E" w:rsidRDefault="00EA5BA8">
      <w:pPr>
        <w:jc w:val="center"/>
        <w:rPr>
          <w:b/>
          <w:bCs/>
        </w:rPr>
      </w:pPr>
      <w:r>
        <w:rPr>
          <w:b/>
          <w:bCs/>
        </w:rPr>
        <w:t xml:space="preserve">за предоставлением государственных услуг, предоставляемых исполнительными органами государственной власти Новосибирской области, в многофункциональные центры предоставления государственных и муниципальных услуг Новосибирской области на период 2023-2030 годы </w:t>
      </w:r>
    </w:p>
    <w:p w:rsidR="00A4783E" w:rsidRDefault="00A4783E">
      <w:pPr>
        <w:jc w:val="center"/>
        <w:rPr>
          <w:b/>
          <w:bCs/>
        </w:rPr>
      </w:pPr>
    </w:p>
    <w:tbl>
      <w:tblPr>
        <w:tblW w:w="153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19"/>
        <w:gridCol w:w="4252"/>
        <w:gridCol w:w="2213"/>
        <w:gridCol w:w="3457"/>
      </w:tblGrid>
      <w:tr w:rsidR="00EA5BA8" w:rsidTr="000A0A33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4783E" w:rsidRDefault="00EA5BA8" w:rsidP="00EA5BA8">
            <w:pPr>
              <w:jc w:val="center"/>
            </w:pPr>
            <w:r>
              <w:t>№ п/п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4783E" w:rsidRDefault="00EA5BA8" w:rsidP="00EA5BA8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4783E" w:rsidRDefault="00EA5BA8" w:rsidP="00EA5BA8">
            <w:pPr>
              <w:jc w:val="center"/>
            </w:pPr>
            <w:r>
              <w:t>Ожидаемый результат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A4783E" w:rsidRDefault="00EA5BA8" w:rsidP="00EA5BA8">
            <w:pPr>
              <w:jc w:val="center"/>
            </w:pPr>
            <w:r>
              <w:t>Срок исполнения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A4783E" w:rsidRDefault="00EA5BA8" w:rsidP="00EA5BA8">
            <w:pPr>
              <w:jc w:val="center"/>
            </w:pPr>
            <w:r>
              <w:t>Ответственный исполнитель</w:t>
            </w:r>
          </w:p>
        </w:tc>
      </w:tr>
      <w:tr w:rsidR="008F4FC8" w:rsidTr="00934CF9">
        <w:trPr>
          <w:jc w:val="center"/>
        </w:trPr>
        <w:tc>
          <w:tcPr>
            <w:tcW w:w="15308" w:type="dxa"/>
            <w:gridSpan w:val="5"/>
            <w:shd w:val="clear" w:color="auto" w:fill="auto"/>
            <w:vAlign w:val="center"/>
          </w:tcPr>
          <w:p w:rsidR="00A25798" w:rsidRPr="00EA5BA8" w:rsidRDefault="008F4FC8" w:rsidP="00EA5BA8">
            <w:pPr>
              <w:jc w:val="center"/>
              <w:rPr>
                <w:b/>
              </w:rPr>
            </w:pPr>
            <w:r w:rsidRPr="00EA5BA8">
              <w:rPr>
                <w:b/>
                <w:lang w:val="en-US"/>
              </w:rPr>
              <w:t>I</w:t>
            </w:r>
            <w:r w:rsidRPr="00EA5BA8">
              <w:rPr>
                <w:b/>
              </w:rPr>
              <w:t xml:space="preserve">. Перевод в </w:t>
            </w:r>
            <w:r w:rsidR="00A25798" w:rsidRPr="00EA5BA8">
              <w:rPr>
                <w:b/>
              </w:rPr>
              <w:t xml:space="preserve">многофункциональные центры предоставления государственных и муниципальных </w:t>
            </w:r>
          </w:p>
          <w:p w:rsidR="008F4FC8" w:rsidRPr="00EA5BA8" w:rsidRDefault="00A25798" w:rsidP="00C0515C">
            <w:pPr>
              <w:jc w:val="center"/>
              <w:rPr>
                <w:b/>
              </w:rPr>
            </w:pPr>
            <w:r w:rsidRPr="00EA5BA8">
              <w:rPr>
                <w:b/>
              </w:rPr>
              <w:t>услуг</w:t>
            </w:r>
            <w:r w:rsidR="008F4FC8" w:rsidRPr="00EA5BA8">
              <w:rPr>
                <w:b/>
              </w:rPr>
              <w:t xml:space="preserve"> 80 % очных обращений граждан за получением государственных услуг, </w:t>
            </w:r>
            <w:r w:rsidR="00C0515C">
              <w:rPr>
                <w:b/>
              </w:rPr>
              <w:t xml:space="preserve">предоставляемых </w:t>
            </w:r>
            <w:r w:rsidRPr="00EA5BA8">
              <w:rPr>
                <w:b/>
                <w:bCs/>
              </w:rPr>
              <w:t>исполнительными органами государственной власти Новосибирской области</w:t>
            </w:r>
            <w:r w:rsidR="00C0515C">
              <w:rPr>
                <w:b/>
                <w:bCs/>
              </w:rPr>
              <w:t xml:space="preserve"> (2023 – 2026 годы)</w:t>
            </w:r>
          </w:p>
        </w:tc>
      </w:tr>
      <w:tr w:rsidR="000B12C8" w:rsidTr="000A0A33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B12C8" w:rsidRDefault="000B12C8" w:rsidP="00EA5BA8">
            <w:pPr>
              <w:jc w:val="center"/>
            </w:pPr>
            <w:r>
              <w:t>1</w:t>
            </w:r>
          </w:p>
          <w:p w:rsidR="000B12C8" w:rsidRDefault="000B12C8" w:rsidP="00EA5BA8">
            <w:pPr>
              <w:jc w:val="center"/>
            </w:pP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0B12C8" w:rsidRDefault="000B12C8">
            <w:r>
              <w:t xml:space="preserve">Проведение анализа федерального законодательства и законодательства Новосибирской области, регламентирующего предоставление государственных услуг, на предмет возможности получения заявителем государственных услуг исполнительных органов государственной власти Новосибирской области (далее – ИОГВ) в многофункциональных центрах предоставления государственных и муниципальных услуг, расположенных на территории Новосибирской области (далее — </w:t>
            </w:r>
            <w:r>
              <w:lastRenderedPageBreak/>
              <w:t xml:space="preserve">МФЦ) 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B12C8" w:rsidRDefault="000B12C8" w:rsidP="00EA5BA8">
            <w:pPr>
              <w:jc w:val="center"/>
            </w:pPr>
            <w:r>
              <w:lastRenderedPageBreak/>
              <w:t>Получение информации о государственных услугах, по которым возможен перевод очных обращений граждан в МФЦ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</w:tcPr>
          <w:p w:rsidR="000B12C8" w:rsidRDefault="000B12C8" w:rsidP="00EA5BA8">
            <w:pPr>
              <w:jc w:val="center"/>
            </w:pPr>
            <w:r>
              <w:t>31.12.2023;</w:t>
            </w:r>
          </w:p>
          <w:p w:rsidR="000B12C8" w:rsidRDefault="000B12C8" w:rsidP="00EA5BA8">
            <w:pPr>
              <w:jc w:val="center"/>
            </w:pPr>
            <w:r>
              <w:t>31.12.2024;</w:t>
            </w:r>
          </w:p>
          <w:p w:rsidR="000B12C8" w:rsidRDefault="000B12C8" w:rsidP="00EA5BA8">
            <w:pPr>
              <w:jc w:val="center"/>
            </w:pPr>
            <w:r>
              <w:t>31.12.2025;</w:t>
            </w:r>
          </w:p>
          <w:p w:rsidR="000B12C8" w:rsidRDefault="000B12C8" w:rsidP="005B6414">
            <w:pPr>
              <w:jc w:val="center"/>
            </w:pPr>
            <w:r>
              <w:t>31.12.2026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0B12C8" w:rsidRDefault="000B12C8" w:rsidP="00C0515C">
            <w:pPr>
              <w:jc w:val="center"/>
            </w:pPr>
            <w:r w:rsidRPr="00ED0A3E">
              <w:t>Министерство экономического развития Новосибирской области (далее – Минэкономразвития НСО);</w:t>
            </w:r>
          </w:p>
          <w:p w:rsidR="000B12C8" w:rsidRDefault="000B12C8" w:rsidP="00C0515C">
            <w:pPr>
              <w:jc w:val="center"/>
            </w:pPr>
            <w:r>
              <w:t>ИОГВ</w:t>
            </w:r>
          </w:p>
        </w:tc>
      </w:tr>
      <w:tr w:rsidR="000B12C8" w:rsidTr="000A0A33">
        <w:trPr>
          <w:trHeight w:val="322"/>
          <w:jc w:val="center"/>
        </w:trPr>
        <w:tc>
          <w:tcPr>
            <w:tcW w:w="567" w:type="dxa"/>
            <w:vMerge/>
            <w:shd w:val="clear" w:color="auto" w:fill="auto"/>
          </w:tcPr>
          <w:p w:rsidR="000B12C8" w:rsidRDefault="000B12C8"/>
        </w:tc>
        <w:tc>
          <w:tcPr>
            <w:tcW w:w="4819" w:type="dxa"/>
            <w:vMerge/>
            <w:shd w:val="clear" w:color="auto" w:fill="auto"/>
          </w:tcPr>
          <w:p w:rsidR="000B12C8" w:rsidRDefault="000B12C8"/>
        </w:tc>
        <w:tc>
          <w:tcPr>
            <w:tcW w:w="4252" w:type="dxa"/>
            <w:shd w:val="clear" w:color="auto" w:fill="auto"/>
            <w:vAlign w:val="center"/>
          </w:tcPr>
          <w:p w:rsidR="000B12C8" w:rsidRDefault="000B12C8" w:rsidP="00C0515C">
            <w:pPr>
              <w:jc w:val="center"/>
            </w:pPr>
            <w:r>
              <w:t>Формирование дополнительного перечня государственных услуг ИОГВ, которые могут предоставляться в МФЦ (далее -Дополнительный перечень)</w:t>
            </w:r>
          </w:p>
        </w:tc>
        <w:tc>
          <w:tcPr>
            <w:tcW w:w="2213" w:type="dxa"/>
            <w:vMerge/>
            <w:shd w:val="clear" w:color="auto" w:fill="auto"/>
            <w:vAlign w:val="center"/>
          </w:tcPr>
          <w:p w:rsidR="000B12C8" w:rsidRDefault="000B12C8" w:rsidP="00EA5BA8">
            <w:pPr>
              <w:jc w:val="center"/>
            </w:pPr>
          </w:p>
        </w:tc>
        <w:tc>
          <w:tcPr>
            <w:tcW w:w="3457" w:type="dxa"/>
            <w:shd w:val="clear" w:color="auto" w:fill="auto"/>
            <w:vAlign w:val="center"/>
          </w:tcPr>
          <w:p w:rsidR="000B12C8" w:rsidRDefault="000B12C8" w:rsidP="00EA5BA8">
            <w:pPr>
              <w:jc w:val="center"/>
            </w:pPr>
            <w:r>
              <w:t>Минэкономразвития НСО;</w:t>
            </w:r>
          </w:p>
          <w:p w:rsidR="000B12C8" w:rsidRDefault="000B12C8" w:rsidP="00EA5BA8">
            <w:pPr>
              <w:jc w:val="center"/>
            </w:pPr>
            <w:r>
              <w:t>МФЦ</w:t>
            </w:r>
          </w:p>
        </w:tc>
      </w:tr>
      <w:tr w:rsidR="00EA5BA8" w:rsidTr="000A0A33">
        <w:trPr>
          <w:trHeight w:val="3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4783E" w:rsidRDefault="00EA5BA8" w:rsidP="00EA5BA8">
            <w:pPr>
              <w:jc w:val="center"/>
            </w:pPr>
            <w:r>
              <w:t>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4783E" w:rsidRDefault="00EA5BA8" w:rsidP="002F2A5F">
            <w:r>
              <w:t>Внесение изменений (при необходимости) в административные регламенты предоставления государственных услуг</w:t>
            </w:r>
            <w:r w:rsidR="002F2A5F">
              <w:t xml:space="preserve"> ИОГВ</w:t>
            </w:r>
            <w:r>
              <w:t>, предусмотренных Дополнительным перечнем</w:t>
            </w:r>
            <w:r w:rsidR="00C0515C">
              <w:t xml:space="preserve"> (п. 1 Плана)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4783E" w:rsidRDefault="00EA5BA8" w:rsidP="00EA5BA8">
            <w:pPr>
              <w:jc w:val="center"/>
            </w:pPr>
            <w:r>
              <w:t>Утвержденный административный регламент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A4783E" w:rsidRDefault="00EA5BA8" w:rsidP="00EA5BA8">
            <w:pPr>
              <w:jc w:val="center"/>
            </w:pPr>
            <w:r>
              <w:t>По мере необходимости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A4783E" w:rsidRDefault="00C0515C" w:rsidP="00EA5BA8">
            <w:pPr>
              <w:jc w:val="center"/>
            </w:pPr>
            <w:r>
              <w:t>ИОГВ</w:t>
            </w:r>
            <w:r w:rsidR="00EA5BA8">
              <w:t>;</w:t>
            </w:r>
          </w:p>
          <w:p w:rsidR="00A4783E" w:rsidRPr="00EA5BA8" w:rsidRDefault="00EA5BA8" w:rsidP="00EA5BA8">
            <w:pPr>
              <w:jc w:val="center"/>
              <w:rPr>
                <w:highlight w:val="yellow"/>
              </w:rPr>
            </w:pPr>
            <w:r>
              <w:t>Минэкономразвития НСО;</w:t>
            </w:r>
          </w:p>
          <w:p w:rsidR="00A4783E" w:rsidRDefault="00EA5BA8" w:rsidP="00EA5BA8">
            <w:pPr>
              <w:jc w:val="center"/>
            </w:pPr>
            <w:r>
              <w:t xml:space="preserve">Министерство цифрового развития и связи Новосибирской области (далее - </w:t>
            </w:r>
          </w:p>
          <w:p w:rsidR="00A4783E" w:rsidRPr="00EA5BA8" w:rsidRDefault="00EA5BA8" w:rsidP="00EA5BA8">
            <w:pPr>
              <w:jc w:val="center"/>
              <w:rPr>
                <w:highlight w:val="yellow"/>
              </w:rPr>
            </w:pPr>
            <w:r>
              <w:t>Минцифра НСО)</w:t>
            </w:r>
          </w:p>
        </w:tc>
      </w:tr>
      <w:tr w:rsidR="00EA5BA8" w:rsidTr="000A0A33">
        <w:trPr>
          <w:trHeight w:val="3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4783E" w:rsidRDefault="00C0515C" w:rsidP="00EA5BA8">
            <w:pPr>
              <w:jc w:val="center"/>
            </w:pPr>
            <w:r>
              <w:t>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4783E" w:rsidRDefault="00EA5BA8">
            <w:r>
              <w:t xml:space="preserve">Включение соответствующих государственных услуг в Перечень государственных услуг Новосибирской области, предоставляемых областными исполнительными органами государственной власти Новосибирской области в многофункциональных центрах предоставления государственных и муниципальных услуг на территории Новосибирской области (далее — Перечень), утвержденный приказом министерства экономического развития Новосибирской области от 09.10.2018 № 95 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4783E" w:rsidRDefault="00EA5BA8" w:rsidP="00EA5BA8">
            <w:pPr>
              <w:jc w:val="center"/>
            </w:pPr>
            <w:r>
              <w:t>Приказ о внесении изменений в Перечень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BE413D" w:rsidRDefault="00BE413D" w:rsidP="00BE413D">
            <w:pPr>
              <w:jc w:val="center"/>
            </w:pPr>
            <w:r>
              <w:t>31.12.2023;</w:t>
            </w:r>
          </w:p>
          <w:p w:rsidR="00BE413D" w:rsidRDefault="00BE413D" w:rsidP="00BE413D">
            <w:pPr>
              <w:jc w:val="center"/>
            </w:pPr>
            <w:r>
              <w:t>31.12.2024;</w:t>
            </w:r>
          </w:p>
          <w:p w:rsidR="00BE413D" w:rsidRDefault="00BE413D" w:rsidP="00BE413D">
            <w:pPr>
              <w:jc w:val="center"/>
            </w:pPr>
            <w:r>
              <w:t>31.12.2025;</w:t>
            </w:r>
          </w:p>
          <w:p w:rsidR="00A4783E" w:rsidRDefault="005B6414" w:rsidP="005B6414">
            <w:pPr>
              <w:jc w:val="center"/>
            </w:pPr>
            <w:r>
              <w:t>31.12.2026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A4783E" w:rsidRDefault="00EA5BA8" w:rsidP="00EA5BA8">
            <w:pPr>
              <w:jc w:val="center"/>
            </w:pPr>
            <w:r>
              <w:t>Минэкономразвития НСО</w:t>
            </w:r>
          </w:p>
        </w:tc>
      </w:tr>
      <w:tr w:rsidR="00C0515C" w:rsidTr="000A0A33">
        <w:trPr>
          <w:trHeight w:val="3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C0515C" w:rsidRDefault="00C0515C" w:rsidP="00ED0A3E">
            <w:r w:rsidRPr="00C0515C">
              <w:t xml:space="preserve">Обеспечение технической возможности предоставления </w:t>
            </w:r>
            <w:r w:rsidR="00ED0A3E">
              <w:t xml:space="preserve">в МФЦ </w:t>
            </w:r>
            <w:r w:rsidRPr="00C0515C">
              <w:t>государственных услуг, предусмот</w:t>
            </w:r>
            <w:r w:rsidR="00ED0A3E">
              <w:t>ренных Дополнительным перечнем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Доработка государственных информационных систем</w:t>
            </w:r>
            <w:r w:rsidR="002F2A5F">
              <w:t>,</w:t>
            </w:r>
            <w:r>
              <w:t xml:space="preserve"> используемых для предоставления государственных услуг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По мере необходимости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Минцифра НСО;</w:t>
            </w:r>
          </w:p>
          <w:p w:rsidR="00C0515C" w:rsidRPr="00EA5BA8" w:rsidRDefault="00C0515C" w:rsidP="00C0515C">
            <w:pPr>
              <w:jc w:val="center"/>
              <w:rPr>
                <w:highlight w:val="yellow"/>
              </w:rPr>
            </w:pPr>
            <w:r>
              <w:t>МФЦ</w:t>
            </w:r>
          </w:p>
        </w:tc>
      </w:tr>
      <w:tr w:rsidR="00C0515C" w:rsidTr="000A0A33">
        <w:trPr>
          <w:trHeight w:val="3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lastRenderedPageBreak/>
              <w:t>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C0515C" w:rsidRDefault="00C0515C" w:rsidP="00C0515C">
            <w:r>
              <w:t>Заключение соглашений (дополнительных соглашений) о взаимодействии между МФЦ и ИОГВ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Соглашение (дополнительное соглашение)</w:t>
            </w:r>
            <w:r w:rsidR="00CE25A0">
              <w:t xml:space="preserve"> между МФЦ и ИОГВ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C0515C" w:rsidRDefault="00C0515C" w:rsidP="00B62417">
            <w:pPr>
              <w:jc w:val="center"/>
            </w:pPr>
            <w:r>
              <w:t>В течение 2 месяцев после исполнения пункт</w:t>
            </w:r>
            <w:r w:rsidR="00B62417">
              <w:t>ов</w:t>
            </w:r>
            <w:r>
              <w:t xml:space="preserve"> </w:t>
            </w:r>
            <w:r w:rsidR="00CE25A0">
              <w:t>3</w:t>
            </w:r>
            <w:r>
              <w:t xml:space="preserve"> </w:t>
            </w:r>
            <w:r w:rsidR="00B62417">
              <w:t xml:space="preserve">и 4 </w:t>
            </w:r>
            <w:r>
              <w:t xml:space="preserve">настоящего Плана 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C0515C" w:rsidRDefault="00CE25A0" w:rsidP="00C0515C">
            <w:pPr>
              <w:jc w:val="center"/>
            </w:pPr>
            <w:r>
              <w:t>ИОГВ</w:t>
            </w:r>
            <w:r w:rsidR="00C0515C">
              <w:t>;</w:t>
            </w:r>
          </w:p>
          <w:p w:rsidR="00C0515C" w:rsidRDefault="00CE25A0" w:rsidP="00B62417">
            <w:pPr>
              <w:jc w:val="center"/>
            </w:pPr>
            <w:r>
              <w:t>МФЦ</w:t>
            </w:r>
          </w:p>
        </w:tc>
      </w:tr>
      <w:tr w:rsidR="00C0515C" w:rsidTr="000A0A33">
        <w:trPr>
          <w:trHeight w:val="3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C0515C" w:rsidRDefault="00C0515C" w:rsidP="00C0515C">
            <w:r>
              <w:t>Организация обучения работников МФЦ по предоставлению государственных услуг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Проведение обучения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По мере перевода услуг, не позднее чем за 2 недели до начала предоставления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C0515C" w:rsidRDefault="00CE25A0" w:rsidP="00C0515C">
            <w:pPr>
              <w:jc w:val="center"/>
            </w:pPr>
            <w:r>
              <w:t>ИОГВ</w:t>
            </w:r>
          </w:p>
        </w:tc>
      </w:tr>
      <w:tr w:rsidR="00C0515C" w:rsidTr="000A0A33">
        <w:trPr>
          <w:trHeight w:val="3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C0515C" w:rsidRDefault="00C0515C" w:rsidP="00CE25A0">
            <w:r>
              <w:t xml:space="preserve">Определение перечня государственных услуг </w:t>
            </w:r>
            <w:r w:rsidR="00CE25A0">
              <w:t>ИОГВ</w:t>
            </w:r>
            <w:r>
              <w:t xml:space="preserve">, которые предоставляются </w:t>
            </w:r>
          </w:p>
          <w:p w:rsidR="00C0515C" w:rsidRDefault="00C0515C" w:rsidP="00C0515C">
            <w:r>
              <w:t xml:space="preserve">в упреждающем (проактивном) режиме и (или) исключительно </w:t>
            </w:r>
          </w:p>
          <w:p w:rsidR="00C0515C" w:rsidRDefault="00C0515C" w:rsidP="00C0515C">
            <w:r>
              <w:t>в электронном виде (далее — Перечень электронных услуг)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0515C" w:rsidRDefault="00C0515C" w:rsidP="00C0515C">
            <w:pPr>
              <w:shd w:val="clear" w:color="FFFFFF" w:fill="FFFFFF"/>
              <w:jc w:val="center"/>
            </w:pPr>
            <w:r>
              <w:t xml:space="preserve">Решение Комиссии </w:t>
            </w:r>
            <w:r w:rsidRPr="00EA5BA8">
              <w:rPr>
                <w:rFonts w:eastAsia="Arial"/>
              </w:rPr>
              <w:t>по повышению качества и доступности предоставления государственных и муниципальных услуг в Новосибирской области</w:t>
            </w:r>
            <w:r>
              <w:t xml:space="preserve"> (далее – Комиссия) об определении Перечня электронных услуг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По мере необходимости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Минэкономразвития НСО;</w:t>
            </w:r>
          </w:p>
          <w:p w:rsidR="00C0515C" w:rsidRDefault="00C0515C" w:rsidP="00C0515C">
            <w:pPr>
              <w:jc w:val="center"/>
            </w:pPr>
            <w:r>
              <w:t>Минцифра НСО;</w:t>
            </w:r>
          </w:p>
          <w:p w:rsidR="00C0515C" w:rsidRDefault="00CE25A0" w:rsidP="00C0515C">
            <w:pPr>
              <w:jc w:val="center"/>
            </w:pPr>
            <w:r>
              <w:t>ИОГВ</w:t>
            </w:r>
          </w:p>
        </w:tc>
      </w:tr>
      <w:tr w:rsidR="00C0515C" w:rsidTr="000A0A33">
        <w:trPr>
          <w:trHeight w:val="3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C0515C" w:rsidRDefault="00C0515C" w:rsidP="00CE25A0">
            <w:r>
              <w:t xml:space="preserve">Информирование заявителей о возможности получения государственных услуг </w:t>
            </w:r>
            <w:r w:rsidR="00CE25A0">
              <w:t xml:space="preserve">ИОГВ </w:t>
            </w:r>
            <w:r>
              <w:t>в МФЦ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 xml:space="preserve">1. Размещение информации о предоставлении в МФЦ государственных услуг </w:t>
            </w:r>
            <w:r w:rsidR="00CE25A0">
              <w:t>ИОГВ</w:t>
            </w:r>
            <w:r>
              <w:t xml:space="preserve"> и преимуществах их получения в МФЦ на:</w:t>
            </w:r>
          </w:p>
          <w:p w:rsidR="00C0515C" w:rsidRDefault="00C0515C" w:rsidP="00C0515C">
            <w:pPr>
              <w:jc w:val="center"/>
            </w:pPr>
            <w:r>
              <w:t>а) официальном сайте и социальных сетях;</w:t>
            </w:r>
          </w:p>
          <w:p w:rsidR="00C0515C" w:rsidRDefault="00C0515C" w:rsidP="00C0515C">
            <w:pPr>
              <w:jc w:val="center"/>
            </w:pPr>
            <w:r>
              <w:t>б) информационных стендах в местах приема граждан.</w:t>
            </w:r>
          </w:p>
          <w:p w:rsidR="00C0515C" w:rsidRDefault="00C0515C" w:rsidP="00C0515C">
            <w:pPr>
              <w:jc w:val="center"/>
            </w:pPr>
            <w:r>
              <w:lastRenderedPageBreak/>
              <w:t>2. Консультирование и информирование жителей о возможности получения услуг в МФЦ по телефону Единой справочной службы</w:t>
            </w:r>
            <w:r w:rsidR="00ED0A3E">
              <w:t xml:space="preserve"> МФЦ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lastRenderedPageBreak/>
              <w:t>На постоянной основе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CE25A0" w:rsidRDefault="00CE25A0" w:rsidP="00C0515C">
            <w:pPr>
              <w:jc w:val="center"/>
            </w:pPr>
            <w:r>
              <w:t>ИОГВ;</w:t>
            </w:r>
          </w:p>
          <w:p w:rsidR="00C0515C" w:rsidRDefault="00C0515C" w:rsidP="00C0515C">
            <w:pPr>
              <w:jc w:val="center"/>
            </w:pPr>
            <w:r>
              <w:t>Минэкономразвития НСО;</w:t>
            </w:r>
          </w:p>
          <w:p w:rsidR="00C0515C" w:rsidRDefault="00CE25A0" w:rsidP="00C0515C">
            <w:pPr>
              <w:jc w:val="center"/>
            </w:pPr>
            <w:r>
              <w:t>МФЦ</w:t>
            </w:r>
          </w:p>
        </w:tc>
      </w:tr>
      <w:tr w:rsidR="00C0515C" w:rsidTr="000A0A33">
        <w:trPr>
          <w:trHeight w:val="3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C0515C" w:rsidRDefault="00C0515C" w:rsidP="00C0515C">
            <w:r>
              <w:t xml:space="preserve">Обеспечение консультационной и организационно-технической поддержки заявителей в секторах пользовательского сопровождения 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0515C" w:rsidRDefault="00CE25A0" w:rsidP="00C0515C">
            <w:pPr>
              <w:jc w:val="center"/>
            </w:pPr>
            <w:r>
              <w:t>В</w:t>
            </w:r>
            <w:r w:rsidR="00C0515C" w:rsidRPr="00CE25A0">
              <w:t xml:space="preserve">ыполнение </w:t>
            </w:r>
            <w:r>
              <w:t xml:space="preserve">целевого значения </w:t>
            </w:r>
            <w:r w:rsidR="00C0515C" w:rsidRPr="00CE25A0">
              <w:t>показателя</w:t>
            </w:r>
            <w:r>
              <w:t xml:space="preserve"> «</w:t>
            </w:r>
            <w:r w:rsidRPr="00CE25A0">
              <w:t>Количество обращений заявителей в секторы пользовательского сопровождения, расположенные в филиалах ГАУ НСО «МФЦ»</w:t>
            </w:r>
            <w:r w:rsidR="00C0515C" w:rsidRPr="00CE25A0">
              <w:t>, установленного государственным заданием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C0515C" w:rsidRDefault="00C0515C" w:rsidP="00C0515C">
            <w:pPr>
              <w:jc w:val="center"/>
            </w:pPr>
            <w:r>
              <w:t>На постоянной основе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C0515C" w:rsidRDefault="00CE25A0" w:rsidP="00C0515C">
            <w:pPr>
              <w:jc w:val="center"/>
            </w:pPr>
            <w:r>
              <w:t>МФЦ;</w:t>
            </w:r>
          </w:p>
          <w:p w:rsidR="00CE25A0" w:rsidRDefault="00CE25A0" w:rsidP="00C0515C">
            <w:pPr>
              <w:jc w:val="center"/>
            </w:pPr>
            <w:r>
              <w:t>Минэкономразвития НСО</w:t>
            </w:r>
          </w:p>
        </w:tc>
      </w:tr>
      <w:tr w:rsidR="00C0515C" w:rsidTr="00934CF9">
        <w:trPr>
          <w:trHeight w:val="322"/>
          <w:jc w:val="center"/>
        </w:trPr>
        <w:tc>
          <w:tcPr>
            <w:tcW w:w="15308" w:type="dxa"/>
            <w:gridSpan w:val="5"/>
            <w:shd w:val="clear" w:color="auto" w:fill="auto"/>
            <w:vAlign w:val="center"/>
          </w:tcPr>
          <w:p w:rsidR="00CE25A0" w:rsidRDefault="00C0515C" w:rsidP="00CE25A0">
            <w:pPr>
              <w:jc w:val="center"/>
              <w:rPr>
                <w:b/>
              </w:rPr>
            </w:pPr>
            <w:r w:rsidRPr="00B96CB6">
              <w:rPr>
                <w:b/>
                <w:lang w:val="en-US"/>
              </w:rPr>
              <w:t>II</w:t>
            </w:r>
            <w:r w:rsidR="00CE25A0">
              <w:rPr>
                <w:b/>
              </w:rPr>
              <w:t>. </w:t>
            </w:r>
            <w:r w:rsidRPr="00B96CB6">
              <w:rPr>
                <w:b/>
                <w:bCs/>
                <w:color w:val="000000"/>
              </w:rPr>
              <w:t>Перевод</w:t>
            </w:r>
            <w:r>
              <w:rPr>
                <w:b/>
                <w:bCs/>
                <w:color w:val="000000"/>
              </w:rPr>
              <w:t xml:space="preserve"> в МФЦ 100% очных обращений граждан </w:t>
            </w:r>
            <w:r w:rsidRPr="00EA5BA8">
              <w:rPr>
                <w:b/>
              </w:rPr>
              <w:t>за получением государственных услуг</w:t>
            </w:r>
            <w:r w:rsidR="00CE25A0">
              <w:rPr>
                <w:b/>
              </w:rPr>
              <w:t xml:space="preserve"> ИОГВ</w:t>
            </w:r>
            <w:r w:rsidRPr="00EA5BA8">
              <w:rPr>
                <w:b/>
              </w:rPr>
              <w:t xml:space="preserve">, </w:t>
            </w:r>
          </w:p>
          <w:p w:rsidR="00C0515C" w:rsidRPr="00B96CB6" w:rsidRDefault="00C0515C" w:rsidP="00CE25A0">
            <w:pPr>
              <w:jc w:val="center"/>
            </w:pPr>
            <w:r w:rsidRPr="00EA5BA8">
              <w:rPr>
                <w:b/>
              </w:rPr>
              <w:t xml:space="preserve">предоставление которых организовано в МФЦ </w:t>
            </w:r>
            <w:r w:rsidR="00934CF9">
              <w:rPr>
                <w:b/>
              </w:rPr>
              <w:t>(2027-2030 годы)</w:t>
            </w:r>
          </w:p>
        </w:tc>
      </w:tr>
      <w:tr w:rsidR="00C0515C" w:rsidTr="000A0A33">
        <w:trPr>
          <w:trHeight w:val="3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0515C" w:rsidRDefault="00C0515C" w:rsidP="00C0515C">
            <w:r>
              <w:t>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C0515C" w:rsidRDefault="00C0515C" w:rsidP="00C0515C">
            <w:r>
              <w:t xml:space="preserve">Сбор и анализ статистической информации по обращениям, в том числе с использованием </w:t>
            </w:r>
            <w:r w:rsidRPr="009E2980">
              <w:t>государственной автомати</w:t>
            </w:r>
            <w:r>
              <w:t>зированной системы «Управление»</w:t>
            </w:r>
            <w:r w:rsidR="00CE25A0">
              <w:t xml:space="preserve"> (</w:t>
            </w:r>
            <w:r w:rsidR="00934CF9">
              <w:t>формы № 1-ГМУ, 2-ГМУ)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0515C" w:rsidRDefault="00C0515C" w:rsidP="006C3397">
            <w:pPr>
              <w:jc w:val="center"/>
            </w:pPr>
            <w:r>
              <w:t xml:space="preserve">Получение информации об обращениях граждан в МФЦ и </w:t>
            </w:r>
            <w:r w:rsidR="006C3397">
              <w:t>ИОГВ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C0515C" w:rsidRDefault="000A0A33" w:rsidP="000A0A33">
            <w:pPr>
              <w:jc w:val="center"/>
            </w:pPr>
            <w:r>
              <w:t>1 раз в квартал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C0515C" w:rsidRDefault="00934CF9" w:rsidP="00934CF9">
            <w:pPr>
              <w:jc w:val="center"/>
            </w:pPr>
            <w:r>
              <w:t>Минэкономразвития НСО</w:t>
            </w:r>
          </w:p>
        </w:tc>
      </w:tr>
      <w:tr w:rsidR="00934CF9" w:rsidTr="000A0A33">
        <w:trPr>
          <w:trHeight w:val="3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934CF9" w:rsidRDefault="00934CF9" w:rsidP="00C0515C">
            <w:r>
              <w:t>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934CF9" w:rsidRDefault="00934CF9" w:rsidP="006C3397">
            <w:r>
              <w:t xml:space="preserve">Формирование перечня услуг, по которым прекращается личный прием в </w:t>
            </w:r>
            <w:r w:rsidR="006C3397">
              <w:t>ИОГВ</w:t>
            </w:r>
            <w:r>
              <w:t xml:space="preserve"> </w:t>
            </w:r>
            <w:r w:rsidR="006C3397">
              <w:t>(</w:t>
            </w:r>
            <w:r>
              <w:t xml:space="preserve">в отношении каждого </w:t>
            </w:r>
            <w:r w:rsidR="006C3397">
              <w:t>ИОГВ)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34CF9" w:rsidRDefault="00934CF9" w:rsidP="00C0515C">
            <w:pPr>
              <w:jc w:val="center"/>
            </w:pPr>
            <w:r>
              <w:t>Перечень услуг</w:t>
            </w:r>
            <w:r w:rsidRPr="009E2980">
              <w:t>, согласованный Комиссией</w:t>
            </w:r>
            <w:r>
              <w:t xml:space="preserve"> 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934CF9" w:rsidRDefault="000A0A33" w:rsidP="00934CF9">
            <w:pPr>
              <w:jc w:val="center"/>
            </w:pPr>
            <w:r>
              <w:t>1 раз в квартал (при необходимости)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934CF9" w:rsidRDefault="00934CF9" w:rsidP="00934CF9">
            <w:pPr>
              <w:jc w:val="center"/>
            </w:pPr>
            <w:r w:rsidRPr="00934CF9">
              <w:t>Минэкономразвития НСО</w:t>
            </w:r>
          </w:p>
        </w:tc>
      </w:tr>
      <w:tr w:rsidR="00934CF9" w:rsidTr="000A0A33">
        <w:trPr>
          <w:trHeight w:val="3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934CF9" w:rsidRDefault="00934CF9" w:rsidP="00C0515C">
            <w:r>
              <w:t>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934CF9" w:rsidRDefault="00934CF9" w:rsidP="00934CF9">
            <w:r>
              <w:t>Подготовка нормативного правового акта о прекращении организации предоставления государственных услуг в ходе личного приема в ИОГВ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34CF9" w:rsidRPr="00EA5BA8" w:rsidRDefault="00934CF9" w:rsidP="00C0515C">
            <w:pPr>
              <w:jc w:val="center"/>
              <w:rPr>
                <w:highlight w:val="yellow"/>
              </w:rPr>
            </w:pPr>
            <w:r>
              <w:t>Распоряжение Правительства Новосибирской области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934CF9" w:rsidRDefault="000A0A33" w:rsidP="000A0A33">
            <w:pPr>
              <w:jc w:val="center"/>
            </w:pPr>
            <w:r>
              <w:t xml:space="preserve">В течение 2 месяцев после исполнения пункта 11 Плана </w:t>
            </w:r>
            <w:r>
              <w:lastRenderedPageBreak/>
              <w:t>(при необходимости)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934CF9" w:rsidRDefault="00934CF9" w:rsidP="000B12C8">
            <w:r w:rsidRPr="00934CF9">
              <w:lastRenderedPageBreak/>
              <w:t>Минэкономразвития НСО</w:t>
            </w:r>
            <w:r w:rsidR="000B12C8">
              <w:t>;</w:t>
            </w:r>
          </w:p>
          <w:p w:rsidR="000B12C8" w:rsidRPr="00934CF9" w:rsidRDefault="000B12C8" w:rsidP="00934CF9">
            <w:pPr>
              <w:jc w:val="center"/>
            </w:pPr>
            <w:r w:rsidRPr="000B12C8">
              <w:t>ОИОГ</w:t>
            </w:r>
          </w:p>
        </w:tc>
      </w:tr>
      <w:tr w:rsidR="00934CF9" w:rsidTr="000A0A33">
        <w:trPr>
          <w:trHeight w:val="3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934CF9" w:rsidRDefault="00934CF9" w:rsidP="00C0515C">
            <w:r>
              <w:t>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934CF9" w:rsidRDefault="00934CF9" w:rsidP="00934CF9">
            <w:r>
              <w:t>Внесение изменений в административные регламенты предоставления государственных услуг в части исключения личного приема в ИОГВ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34CF9" w:rsidRDefault="00934CF9" w:rsidP="00C0515C">
            <w:pPr>
              <w:jc w:val="center"/>
            </w:pPr>
            <w:r>
              <w:t>Утвержденный административный регламент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934CF9" w:rsidRDefault="000A0A33" w:rsidP="000A0A33">
            <w:pPr>
              <w:jc w:val="center"/>
            </w:pPr>
            <w:r>
              <w:t>В течение 2 месяцев после исполнения пункта 11 Плана (при необходимости)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934CF9" w:rsidRDefault="00934CF9" w:rsidP="00C0515C">
            <w:pPr>
              <w:jc w:val="center"/>
            </w:pPr>
            <w:r>
              <w:t>ИОГВ</w:t>
            </w:r>
          </w:p>
        </w:tc>
      </w:tr>
      <w:tr w:rsidR="00C0515C" w:rsidTr="000A0A33">
        <w:trPr>
          <w:trHeight w:val="3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0515C" w:rsidRDefault="00C0515C" w:rsidP="00C0515C">
            <w:r>
              <w:t>14</w:t>
            </w:r>
          </w:p>
        </w:tc>
        <w:tc>
          <w:tcPr>
            <w:tcW w:w="4819" w:type="dxa"/>
            <w:vAlign w:val="center"/>
          </w:tcPr>
          <w:p w:rsidR="00C0515C" w:rsidRDefault="00C0515C" w:rsidP="00934CF9">
            <w:r>
              <w:t xml:space="preserve">Информирование заявителей о прекращении личного приема заявителей </w:t>
            </w:r>
            <w:r w:rsidRPr="00087528">
              <w:t xml:space="preserve">в </w:t>
            </w:r>
            <w:r w:rsidR="00934CF9">
              <w:t>ИОГВ</w:t>
            </w:r>
            <w:r w:rsidRPr="00087528">
              <w:t xml:space="preserve"> по государственным услугам, предоставление которых организовано в МФЦ</w:t>
            </w:r>
          </w:p>
        </w:tc>
        <w:tc>
          <w:tcPr>
            <w:tcW w:w="4252" w:type="dxa"/>
            <w:vAlign w:val="center"/>
          </w:tcPr>
          <w:p w:rsidR="00C0515C" w:rsidRDefault="00C0515C" w:rsidP="00C0515C">
            <w:pPr>
              <w:jc w:val="center"/>
            </w:pPr>
            <w:r>
              <w:t>1. Размещение информации на:</w:t>
            </w:r>
          </w:p>
          <w:p w:rsidR="00C0515C" w:rsidRDefault="00C0515C" w:rsidP="00C0515C">
            <w:pPr>
              <w:jc w:val="center"/>
            </w:pPr>
            <w:r>
              <w:t>а) официальном сайте и социальных сетях;</w:t>
            </w:r>
          </w:p>
          <w:p w:rsidR="00C0515C" w:rsidRDefault="00C0515C" w:rsidP="00C0515C">
            <w:pPr>
              <w:jc w:val="center"/>
            </w:pPr>
            <w:r>
              <w:t>б) информационных стендах в местах приема граждан.</w:t>
            </w:r>
          </w:p>
          <w:p w:rsidR="00C0515C" w:rsidRDefault="00C0515C" w:rsidP="00C0515C">
            <w:pPr>
              <w:jc w:val="center"/>
            </w:pPr>
            <w:r>
              <w:t>2. Консультирование и информирование жителей по телефону Единой справочной службы</w:t>
            </w:r>
            <w:r w:rsidR="00ED0A3E">
              <w:t xml:space="preserve"> МФЦ</w:t>
            </w:r>
          </w:p>
        </w:tc>
        <w:tc>
          <w:tcPr>
            <w:tcW w:w="2213" w:type="dxa"/>
            <w:vAlign w:val="center"/>
          </w:tcPr>
          <w:p w:rsidR="00C0515C" w:rsidRDefault="00C0515C" w:rsidP="00C0515C">
            <w:pPr>
              <w:jc w:val="center"/>
            </w:pPr>
            <w:r>
              <w:t>На постоянной основе</w:t>
            </w:r>
          </w:p>
        </w:tc>
        <w:tc>
          <w:tcPr>
            <w:tcW w:w="3457" w:type="dxa"/>
            <w:vAlign w:val="center"/>
          </w:tcPr>
          <w:p w:rsidR="00C0515C" w:rsidRDefault="00934CF9" w:rsidP="00C0515C">
            <w:pPr>
              <w:jc w:val="center"/>
            </w:pPr>
            <w:r>
              <w:t>ИОГВ</w:t>
            </w:r>
            <w:r w:rsidR="00C0515C">
              <w:t>;</w:t>
            </w:r>
          </w:p>
          <w:p w:rsidR="00C0515C" w:rsidRDefault="00C0515C" w:rsidP="00C0515C">
            <w:pPr>
              <w:jc w:val="center"/>
            </w:pPr>
            <w:r>
              <w:t>Минэкономразвития НСО;</w:t>
            </w:r>
          </w:p>
          <w:p w:rsidR="00C0515C" w:rsidRDefault="00934CF9" w:rsidP="00C0515C">
            <w:pPr>
              <w:jc w:val="center"/>
            </w:pPr>
            <w:r>
              <w:t>МФЦ</w:t>
            </w:r>
          </w:p>
        </w:tc>
      </w:tr>
      <w:tr w:rsidR="00C0515C" w:rsidTr="006C3397">
        <w:trPr>
          <w:trHeight w:val="322"/>
          <w:jc w:val="center"/>
        </w:trPr>
        <w:tc>
          <w:tcPr>
            <w:tcW w:w="15308" w:type="dxa"/>
            <w:gridSpan w:val="5"/>
            <w:shd w:val="clear" w:color="auto" w:fill="auto"/>
            <w:vAlign w:val="center"/>
          </w:tcPr>
          <w:p w:rsidR="00C0515C" w:rsidRPr="00B76810" w:rsidRDefault="00C0515C" w:rsidP="00C0515C">
            <w:pPr>
              <w:jc w:val="center"/>
              <w:rPr>
                <w:b/>
              </w:rPr>
            </w:pPr>
            <w:r w:rsidRPr="00B76810">
              <w:rPr>
                <w:b/>
                <w:lang w:val="en-US"/>
              </w:rPr>
              <w:t>III</w:t>
            </w:r>
            <w:r w:rsidRPr="00B76810">
              <w:rPr>
                <w:b/>
              </w:rPr>
              <w:t xml:space="preserve">. Анализ объемов предоставления государственных услуг в МФЦ </w:t>
            </w:r>
          </w:p>
        </w:tc>
      </w:tr>
      <w:tr w:rsidR="002F2A5F" w:rsidTr="000A0A33">
        <w:trPr>
          <w:trHeight w:val="322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F2A5F" w:rsidRDefault="002F2A5F" w:rsidP="00C0515C">
            <w:r>
              <w:t>15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2F2A5F" w:rsidRPr="002F2A5F" w:rsidRDefault="002F2A5F" w:rsidP="002F2A5F">
            <w:r>
              <w:t xml:space="preserve">Проведение мониторинга показателя «Доля очных обращений в МФЦ за предоставлением региональных государственных услуг», </w:t>
            </w:r>
            <w:r w:rsidRPr="009E2980">
              <w:t>в том числе с использованием государственной автоматизированной системы «Управление»</w:t>
            </w:r>
            <w:r w:rsidRPr="009E2980">
              <w:rPr>
                <w:rStyle w:val="af4"/>
              </w:rPr>
              <w:footnoteReference w:customMarkFollows="1" w:id="1"/>
              <w:t>*</w:t>
            </w:r>
            <w:r>
              <w:t xml:space="preserve"> в целях исполнения </w:t>
            </w:r>
            <w:r>
              <w:lastRenderedPageBreak/>
              <w:t xml:space="preserve">мероприятий </w:t>
            </w:r>
            <w:r>
              <w:rPr>
                <w:lang w:val="en-US"/>
              </w:rPr>
              <w:t>I</w:t>
            </w:r>
            <w:r w:rsidRPr="002F2A5F">
              <w:t xml:space="preserve"> </w:t>
            </w:r>
            <w:r>
              <w:t xml:space="preserve">и </w:t>
            </w:r>
            <w:r>
              <w:rPr>
                <w:lang w:val="en-US"/>
              </w:rPr>
              <w:t>II</w:t>
            </w:r>
            <w:r w:rsidRPr="002F2A5F">
              <w:t xml:space="preserve"> </w:t>
            </w:r>
            <w:r>
              <w:t>этапа настоящего Плана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2A5F" w:rsidRDefault="002F2A5F" w:rsidP="002F2A5F">
            <w:pPr>
              <w:jc w:val="center"/>
            </w:pPr>
            <w:r>
              <w:lastRenderedPageBreak/>
              <w:t>Перевод в МФЦ 80 % очных обращений граждан за получением государственных услуг ИОГВ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2F2A5F" w:rsidRDefault="000A0A33" w:rsidP="00C0515C">
            <w:pPr>
              <w:jc w:val="center"/>
            </w:pPr>
            <w:r>
              <w:t>01.12.2026</w:t>
            </w:r>
          </w:p>
        </w:tc>
        <w:tc>
          <w:tcPr>
            <w:tcW w:w="3457" w:type="dxa"/>
            <w:vMerge w:val="restart"/>
            <w:shd w:val="clear" w:color="auto" w:fill="auto"/>
            <w:vAlign w:val="center"/>
          </w:tcPr>
          <w:p w:rsidR="00ED0A3E" w:rsidRDefault="00ED0A3E" w:rsidP="00C0515C">
            <w:pPr>
              <w:jc w:val="center"/>
            </w:pPr>
            <w:r w:rsidRPr="00ED0A3E">
              <w:t>Минэкономразвития НСО</w:t>
            </w:r>
            <w:r>
              <w:t>;</w:t>
            </w:r>
          </w:p>
          <w:p w:rsidR="002F2A5F" w:rsidRDefault="00ED0A3E" w:rsidP="00ED0A3E">
            <w:pPr>
              <w:jc w:val="center"/>
            </w:pPr>
            <w:r>
              <w:t>ИОГВ</w:t>
            </w:r>
          </w:p>
        </w:tc>
      </w:tr>
      <w:tr w:rsidR="002F2A5F" w:rsidTr="000A0A33">
        <w:trPr>
          <w:trHeight w:val="322"/>
          <w:jc w:val="center"/>
        </w:trPr>
        <w:tc>
          <w:tcPr>
            <w:tcW w:w="567" w:type="dxa"/>
            <w:vMerge/>
            <w:shd w:val="clear" w:color="auto" w:fill="auto"/>
          </w:tcPr>
          <w:p w:rsidR="002F2A5F" w:rsidRDefault="002F2A5F" w:rsidP="00C0515C"/>
        </w:tc>
        <w:tc>
          <w:tcPr>
            <w:tcW w:w="4819" w:type="dxa"/>
            <w:vMerge/>
            <w:shd w:val="clear" w:color="auto" w:fill="auto"/>
            <w:vAlign w:val="center"/>
          </w:tcPr>
          <w:p w:rsidR="002F2A5F" w:rsidRDefault="002F2A5F" w:rsidP="002F2A5F"/>
        </w:tc>
        <w:tc>
          <w:tcPr>
            <w:tcW w:w="4252" w:type="dxa"/>
            <w:shd w:val="clear" w:color="auto" w:fill="auto"/>
            <w:vAlign w:val="center"/>
          </w:tcPr>
          <w:p w:rsidR="002F2A5F" w:rsidRDefault="002F2A5F" w:rsidP="002F2A5F">
            <w:pPr>
              <w:jc w:val="center"/>
            </w:pPr>
            <w:r>
              <w:t xml:space="preserve">Перевод в МФЦ 100 % очных обращений граждан за </w:t>
            </w:r>
            <w:r>
              <w:lastRenderedPageBreak/>
              <w:t>получением государственных услуг ИОГВ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2F2A5F" w:rsidRDefault="000A0A33" w:rsidP="00C0515C">
            <w:pPr>
              <w:jc w:val="center"/>
            </w:pPr>
            <w:r>
              <w:lastRenderedPageBreak/>
              <w:t>01.12.2030</w:t>
            </w:r>
          </w:p>
        </w:tc>
        <w:tc>
          <w:tcPr>
            <w:tcW w:w="3457" w:type="dxa"/>
            <w:vMerge/>
            <w:shd w:val="clear" w:color="auto" w:fill="auto"/>
            <w:vAlign w:val="center"/>
          </w:tcPr>
          <w:p w:rsidR="002F2A5F" w:rsidRDefault="002F2A5F" w:rsidP="00C0515C">
            <w:pPr>
              <w:jc w:val="center"/>
            </w:pPr>
          </w:p>
        </w:tc>
      </w:tr>
    </w:tbl>
    <w:p w:rsidR="00A4783E" w:rsidRDefault="00A4783E">
      <w:pPr>
        <w:jc w:val="center"/>
        <w:rPr>
          <w:b/>
          <w:bCs/>
        </w:rPr>
      </w:pPr>
    </w:p>
    <w:sectPr w:rsidR="00A4783E" w:rsidSect="006C3397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C9D" w:rsidRDefault="00E67C9D">
      <w:r>
        <w:separator/>
      </w:r>
    </w:p>
  </w:endnote>
  <w:endnote w:type="continuationSeparator" w:id="0">
    <w:p w:rsidR="00E67C9D" w:rsidRDefault="00E6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C9D" w:rsidRDefault="00E67C9D">
      <w:r>
        <w:separator/>
      </w:r>
    </w:p>
  </w:footnote>
  <w:footnote w:type="continuationSeparator" w:id="0">
    <w:p w:rsidR="00E67C9D" w:rsidRDefault="00E67C9D">
      <w:r>
        <w:continuationSeparator/>
      </w:r>
    </w:p>
  </w:footnote>
  <w:footnote w:id="1">
    <w:p w:rsidR="002F2A5F" w:rsidRDefault="002F2A5F" w:rsidP="00B96CB6">
      <w:pPr>
        <w:pStyle w:val="af2"/>
      </w:pPr>
      <w:r>
        <w:rPr>
          <w:rStyle w:val="af4"/>
        </w:rPr>
        <w:t>*</w:t>
      </w:r>
      <w:r>
        <w:t xml:space="preserve"> Показатель рассчитывается 1 раз в полугодие, начиная с 2024 года, только по государственным услугам, включенным в Перечень, по формуле:</w:t>
      </w:r>
    </w:p>
    <w:p w:rsidR="002F2A5F" w:rsidRDefault="002F2A5F" w:rsidP="00B96CB6">
      <w:pPr>
        <w:pStyle w:val="af2"/>
      </w:pPr>
    </w:p>
    <w:p w:rsidR="002F2A5F" w:rsidRDefault="002F2A5F" w:rsidP="00B96CB6">
      <w:pPr>
        <w:pStyle w:val="af2"/>
        <w:jc w:val="center"/>
        <w:rPr>
          <w:szCs w:val="18"/>
        </w:rPr>
      </w:pPr>
      <w:r>
        <w:rPr>
          <w:szCs w:val="18"/>
        </w:rPr>
        <w:t xml:space="preserve">Домфц </w:t>
      </w:r>
      <w:r w:rsidRPr="00EA5BA8">
        <w:rPr>
          <w:szCs w:val="18"/>
        </w:rPr>
        <w:fldChar w:fldCharType="begin"/>
      </w:r>
      <w:r w:rsidRPr="00EA5BA8">
        <w:rPr>
          <w:szCs w:val="18"/>
        </w:rPr>
        <w:instrText xml:space="preserve"> QUOTE </w:instrText>
      </w:r>
      <w:r w:rsidR="00E67C9D">
        <w:rPr>
          <w:position w:val="-5"/>
        </w:rPr>
        <w:pict w14:anchorId="5CD94E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.75pt;height:1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4783E&quot;/&gt;&lt;wsp:rsid wsp:val=&quot;00020A7B&quot;/&gt;&lt;wsp:rsid wsp:val=&quot;008F4FC8&quot;/&gt;&lt;wsp:rsid wsp:val=&quot;00A25798&quot;/&gt;&lt;wsp:rsid wsp:val=&quot;00A4783E&quot;/&gt;&lt;wsp:rsid wsp:val=&quot;00EA5BA8&quot;/&gt;&lt;/wsp:rsids&gt;&lt;/w:docPr&gt;&lt;w:body&gt;&lt;wx:sect&gt;&lt;w:p wsp:rsidR=&quot;00000000&quot; wsp:rsidRDefault=&quot;00020A7B&quot; wsp:rsidP=&quot;00020A7B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sz-cs w:val=&quot;1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" o:title="" chromakey="white"/>
          </v:shape>
        </w:pict>
      </w:r>
      <w:r w:rsidRPr="00EA5BA8">
        <w:rPr>
          <w:szCs w:val="18"/>
        </w:rPr>
        <w:instrText xml:space="preserve"> </w:instrText>
      </w:r>
      <w:r w:rsidRPr="00EA5BA8">
        <w:rPr>
          <w:szCs w:val="18"/>
        </w:rPr>
        <w:fldChar w:fldCharType="separate"/>
      </w:r>
      <w:r w:rsidR="00E67C9D">
        <w:rPr>
          <w:position w:val="-5"/>
        </w:rPr>
        <w:pict w14:anchorId="17B1C38E">
          <v:shape id="_x0000_i1028" type="#_x0000_t75" style="width:6.75pt;height:1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4783E&quot;/&gt;&lt;wsp:rsid wsp:val=&quot;00020A7B&quot;/&gt;&lt;wsp:rsid wsp:val=&quot;008F4FC8&quot;/&gt;&lt;wsp:rsid wsp:val=&quot;00A25798&quot;/&gt;&lt;wsp:rsid wsp:val=&quot;00A4783E&quot;/&gt;&lt;wsp:rsid wsp:val=&quot;00EA5BA8&quot;/&gt;&lt;/wsp:rsids&gt;&lt;/w:docPr&gt;&lt;w:body&gt;&lt;wx:sect&gt;&lt;w:p wsp:rsidR=&quot;00000000&quot; wsp:rsidRDefault=&quot;00020A7B&quot; wsp:rsidP=&quot;00020A7B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sz-cs w:val=&quot;1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" o:title="" chromakey="white"/>
          </v:shape>
        </w:pict>
      </w:r>
      <w:r w:rsidRPr="00EA5BA8">
        <w:rPr>
          <w:szCs w:val="18"/>
        </w:rPr>
        <w:fldChar w:fldCharType="end"/>
      </w:r>
      <w:r>
        <w:rPr>
          <w:szCs w:val="18"/>
        </w:rPr>
        <w:t xml:space="preserve"> </w:t>
      </w:r>
      <w:r w:rsidRPr="00EA5BA8">
        <w:rPr>
          <w:szCs w:val="18"/>
        </w:rPr>
        <w:fldChar w:fldCharType="begin"/>
      </w:r>
      <w:r w:rsidRPr="00EA5BA8">
        <w:rPr>
          <w:szCs w:val="18"/>
        </w:rPr>
        <w:instrText xml:space="preserve"> QUOTE </w:instrText>
      </w:r>
      <w:r w:rsidR="00E67C9D">
        <w:rPr>
          <w:position w:val="-12"/>
        </w:rPr>
        <w:pict w14:anchorId="19A7DC54">
          <v:shape id="_x0000_i1030" type="#_x0000_t75" style="width:48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4783E&quot;/&gt;&lt;wsp:rsid wsp:val=&quot;00524326&quot;/&gt;&lt;wsp:rsid wsp:val=&quot;008F4FC8&quot;/&gt;&lt;wsp:rsid wsp:val=&quot;00A25798&quot;/&gt;&lt;wsp:rsid wsp:val=&quot;00A4783E&quot;/&gt;&lt;wsp:rsid wsp:val=&quot;00EA5BA8&quot;/&gt;&lt;/wsp:rsids&gt;&lt;/w:docPr&gt;&lt;w:body&gt;&lt;wx:sect&gt;&lt;w:p wsp:rsidR=&quot;00000000&quot; wsp:rsidRDefault=&quot;00524326&quot; wsp:rsidP=&quot;00524326&quot;&gt;&lt;m:oMathPara&gt;&lt;m:oMath&gt;&lt;m:f&gt;&lt;m:fPr&gt;&lt;m:ctrlPr&gt;&lt;w:rPr&gt;&lt;w:rFonts w:ascii=&quot;Cambria Math&quot; w:fareast=&quot;Cambria Math&quot; w:h-ansi=&quot;Cambria Math&quot; w:cs=&quot;Cambria Math&quot;/&gt;&lt;wx:font wx:val=&quot;Cambria Math&quot;/&gt;&lt;w:i/&gt;&lt;w:sz w:val=&quot;18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sz-cs w:val=&quot;18&quot;/&gt;&lt;/w:rPr&gt;&lt;m:t&gt;РљРѕРјС„С†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sz-cs w:val=&quot;18&quot;/&gt;&lt;/w:rPr&gt;&lt;m:t&gt;РљРѕРёРІ+РљРѕРјС„С†&lt;/m:t&gt;&lt;/m:r&gt;&lt;/m:den&gt;&lt;/m:f&gt;&lt;m:r&gt;&lt;w:rPr&gt;&lt;w:rFonts w:ascii=&quot;Cambria Math&quot; w:fareast=&quot;Cambria Math&quot; w:h-ansi=&quot;Cambria Math&quot; w:cs=&quot;Cambria Math&quot;/&gt;&lt;wx:font wx:val=&quot;Cambria Math&quot;/&gt;&lt;w:i/&gt;&lt;w:sz-cs w:val=&quot;18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" o:title="" chromakey="white"/>
          </v:shape>
        </w:pict>
      </w:r>
      <w:r w:rsidRPr="00EA5BA8">
        <w:rPr>
          <w:szCs w:val="18"/>
        </w:rPr>
        <w:instrText xml:space="preserve"> </w:instrText>
      </w:r>
      <w:r w:rsidRPr="00EA5BA8">
        <w:rPr>
          <w:szCs w:val="18"/>
        </w:rPr>
        <w:fldChar w:fldCharType="separate"/>
      </w:r>
      <w:r w:rsidR="00E67C9D">
        <w:rPr>
          <w:position w:val="-12"/>
        </w:rPr>
        <w:pict w14:anchorId="57BC4FC4">
          <v:shape id="_x0000_i1032" type="#_x0000_t75" style="width:48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4783E&quot;/&gt;&lt;wsp:rsid wsp:val=&quot;00524326&quot;/&gt;&lt;wsp:rsid wsp:val=&quot;008F4FC8&quot;/&gt;&lt;wsp:rsid wsp:val=&quot;00A25798&quot;/&gt;&lt;wsp:rsid wsp:val=&quot;00A4783E&quot;/&gt;&lt;wsp:rsid wsp:val=&quot;00EA5BA8&quot;/&gt;&lt;/wsp:rsids&gt;&lt;/w:docPr&gt;&lt;w:body&gt;&lt;wx:sect&gt;&lt;w:p wsp:rsidR=&quot;00000000&quot; wsp:rsidRDefault=&quot;00524326&quot; wsp:rsidP=&quot;00524326&quot;&gt;&lt;m:oMathPara&gt;&lt;m:oMath&gt;&lt;m:f&gt;&lt;m:fPr&gt;&lt;m:ctrlPr&gt;&lt;w:rPr&gt;&lt;w:rFonts w:ascii=&quot;Cambria Math&quot; w:fareast=&quot;Cambria Math&quot; w:h-ansi=&quot;Cambria Math&quot; w:cs=&quot;Cambria Math&quot;/&gt;&lt;wx:font wx:val=&quot;Cambria Math&quot;/&gt;&lt;w:i/&gt;&lt;w:sz w:val=&quot;18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sz-cs w:val=&quot;18&quot;/&gt;&lt;/w:rPr&gt;&lt;m:t&gt;РљРѕРјС„С†&lt;/m:t&gt;&lt;/m:r&gt;&lt;/m:num&gt;&lt;m:den&gt;&lt;m:r&gt;&lt;w:rPr&gt;&lt;w:rFonts w:ascii=&quot;Cambria Math&quot; w:fareast=&quot;Cambria Math&quot; w:h-ansi=&quot;Cambria Math&quot; w:cs=&quot;Cambria Math&quot;/&gt;&lt;wx:font wx:val=&quot;Cambria Math&quot;/&gt;&lt;w:i/&gt;&lt;w:sz-cs w:val=&quot;18&quot;/&gt;&lt;/w:rPr&gt;&lt;m:t&gt;РљРѕРёРІ+РљРѕРјС„С†&lt;/m:t&gt;&lt;/m:r&gt;&lt;/m:den&gt;&lt;/m:f&gt;&lt;m:r&gt;&lt;w:rPr&gt;&lt;w:rFonts w:ascii=&quot;Cambria Math&quot; w:fareast=&quot;Cambria Math&quot; w:h-ansi=&quot;Cambria Math&quot; w:cs=&quot;Cambria Math&quot;/&gt;&lt;wx:font wx:val=&quot;Cambria Math&quot;/&gt;&lt;w:i/&gt;&lt;w:sz-cs w:val=&quot;18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" o:title="" chromakey="white"/>
          </v:shape>
        </w:pict>
      </w:r>
      <w:r w:rsidRPr="00EA5BA8">
        <w:rPr>
          <w:szCs w:val="18"/>
        </w:rPr>
        <w:fldChar w:fldCharType="end"/>
      </w:r>
      <w:r>
        <w:rPr>
          <w:szCs w:val="18"/>
        </w:rPr>
        <w:t>100 %</w:t>
      </w:r>
    </w:p>
    <w:p w:rsidR="002F2A5F" w:rsidRDefault="002F2A5F" w:rsidP="00B96CB6">
      <w:pPr>
        <w:pStyle w:val="af2"/>
      </w:pPr>
    </w:p>
    <w:p w:rsidR="002F2A5F" w:rsidRDefault="002F2A5F" w:rsidP="00B96CB6">
      <w:pPr>
        <w:pStyle w:val="af2"/>
      </w:pPr>
      <w:r>
        <w:t>где:</w:t>
      </w:r>
    </w:p>
    <w:p w:rsidR="002F2A5F" w:rsidRDefault="002F2A5F" w:rsidP="00B96CB6">
      <w:pPr>
        <w:pStyle w:val="af2"/>
      </w:pPr>
      <w:r>
        <w:t>Домфц - доля очных обращений в МФЦ за предоставлением государственных услуг;</w:t>
      </w:r>
    </w:p>
    <w:p w:rsidR="002F2A5F" w:rsidRDefault="002F2A5F" w:rsidP="00B96CB6">
      <w:pPr>
        <w:pStyle w:val="af2"/>
      </w:pPr>
      <w:r>
        <w:t>Комфц - количество очных обращений в МФЦ за предоставлением государственных услуг;</w:t>
      </w:r>
    </w:p>
    <w:p w:rsidR="002F2A5F" w:rsidRDefault="002F2A5F" w:rsidP="00B96CB6">
      <w:pPr>
        <w:pStyle w:val="af2"/>
      </w:pPr>
      <w:r>
        <w:t>Коив - количество очных обращений в исполнительный орган власти за предоставлением государственных услуг.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83E" w:rsidRDefault="00EA5BA8">
    <w:pPr>
      <w:pStyle w:val="afb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7B38A5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:rsidR="00A4783E" w:rsidRDefault="00A4783E">
    <w:pPr>
      <w:pStyle w:val="afb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678"/>
    <w:multiLevelType w:val="hybridMultilevel"/>
    <w:tmpl w:val="7624DAC4"/>
    <w:lvl w:ilvl="0" w:tplc="47EEC37C">
      <w:start w:val="1"/>
      <w:numFmt w:val="decimal"/>
      <w:lvlText w:val="%1."/>
      <w:lvlJc w:val="left"/>
    </w:lvl>
    <w:lvl w:ilvl="1" w:tplc="E8360BCA">
      <w:start w:val="1"/>
      <w:numFmt w:val="lowerLetter"/>
      <w:lvlText w:val="%2."/>
      <w:lvlJc w:val="left"/>
      <w:pPr>
        <w:ind w:left="1440" w:hanging="360"/>
      </w:pPr>
    </w:lvl>
    <w:lvl w:ilvl="2" w:tplc="95C66560">
      <w:start w:val="1"/>
      <w:numFmt w:val="lowerRoman"/>
      <w:lvlText w:val="%3."/>
      <w:lvlJc w:val="right"/>
      <w:pPr>
        <w:ind w:left="2160" w:hanging="180"/>
      </w:pPr>
    </w:lvl>
    <w:lvl w:ilvl="3" w:tplc="A9C8E0BE">
      <w:start w:val="1"/>
      <w:numFmt w:val="decimal"/>
      <w:lvlText w:val="%4."/>
      <w:lvlJc w:val="left"/>
      <w:pPr>
        <w:ind w:left="2880" w:hanging="360"/>
      </w:pPr>
    </w:lvl>
    <w:lvl w:ilvl="4" w:tplc="823A7C84">
      <w:start w:val="1"/>
      <w:numFmt w:val="lowerLetter"/>
      <w:lvlText w:val="%5."/>
      <w:lvlJc w:val="left"/>
      <w:pPr>
        <w:ind w:left="3600" w:hanging="360"/>
      </w:pPr>
    </w:lvl>
    <w:lvl w:ilvl="5" w:tplc="413C0D10">
      <w:start w:val="1"/>
      <w:numFmt w:val="lowerRoman"/>
      <w:lvlText w:val="%6."/>
      <w:lvlJc w:val="right"/>
      <w:pPr>
        <w:ind w:left="4320" w:hanging="180"/>
      </w:pPr>
    </w:lvl>
    <w:lvl w:ilvl="6" w:tplc="9C3875EC">
      <w:start w:val="1"/>
      <w:numFmt w:val="decimal"/>
      <w:lvlText w:val="%7."/>
      <w:lvlJc w:val="left"/>
      <w:pPr>
        <w:ind w:left="5040" w:hanging="360"/>
      </w:pPr>
    </w:lvl>
    <w:lvl w:ilvl="7" w:tplc="3C00571E">
      <w:start w:val="1"/>
      <w:numFmt w:val="lowerLetter"/>
      <w:lvlText w:val="%8."/>
      <w:lvlJc w:val="left"/>
      <w:pPr>
        <w:ind w:left="5760" w:hanging="360"/>
      </w:pPr>
    </w:lvl>
    <w:lvl w:ilvl="8" w:tplc="A90CCD6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92913"/>
    <w:multiLevelType w:val="hybridMultilevel"/>
    <w:tmpl w:val="FB1E4AB6"/>
    <w:lvl w:ilvl="0" w:tplc="7B0022E0">
      <w:start w:val="1"/>
      <w:numFmt w:val="decimal"/>
      <w:lvlText w:val="%1."/>
      <w:lvlJc w:val="left"/>
    </w:lvl>
    <w:lvl w:ilvl="1" w:tplc="53D6A178">
      <w:start w:val="1"/>
      <w:numFmt w:val="lowerLetter"/>
      <w:lvlText w:val="%2."/>
      <w:lvlJc w:val="left"/>
      <w:pPr>
        <w:ind w:left="1440" w:hanging="360"/>
      </w:pPr>
    </w:lvl>
    <w:lvl w:ilvl="2" w:tplc="1E8EB212">
      <w:start w:val="1"/>
      <w:numFmt w:val="lowerRoman"/>
      <w:lvlText w:val="%3."/>
      <w:lvlJc w:val="right"/>
      <w:pPr>
        <w:ind w:left="2160" w:hanging="180"/>
      </w:pPr>
    </w:lvl>
    <w:lvl w:ilvl="3" w:tplc="09729C58">
      <w:start w:val="1"/>
      <w:numFmt w:val="decimal"/>
      <w:lvlText w:val="%4."/>
      <w:lvlJc w:val="left"/>
      <w:pPr>
        <w:ind w:left="2880" w:hanging="360"/>
      </w:pPr>
    </w:lvl>
    <w:lvl w:ilvl="4" w:tplc="7C64867A">
      <w:start w:val="1"/>
      <w:numFmt w:val="lowerLetter"/>
      <w:lvlText w:val="%5."/>
      <w:lvlJc w:val="left"/>
      <w:pPr>
        <w:ind w:left="3600" w:hanging="360"/>
      </w:pPr>
    </w:lvl>
    <w:lvl w:ilvl="5" w:tplc="732489EE">
      <w:start w:val="1"/>
      <w:numFmt w:val="lowerRoman"/>
      <w:lvlText w:val="%6."/>
      <w:lvlJc w:val="right"/>
      <w:pPr>
        <w:ind w:left="4320" w:hanging="180"/>
      </w:pPr>
    </w:lvl>
    <w:lvl w:ilvl="6" w:tplc="DFC8BCEA">
      <w:start w:val="1"/>
      <w:numFmt w:val="decimal"/>
      <w:lvlText w:val="%7."/>
      <w:lvlJc w:val="left"/>
      <w:pPr>
        <w:ind w:left="5040" w:hanging="360"/>
      </w:pPr>
    </w:lvl>
    <w:lvl w:ilvl="7" w:tplc="D57CB782">
      <w:start w:val="1"/>
      <w:numFmt w:val="lowerLetter"/>
      <w:lvlText w:val="%8."/>
      <w:lvlJc w:val="left"/>
      <w:pPr>
        <w:ind w:left="5760" w:hanging="360"/>
      </w:pPr>
    </w:lvl>
    <w:lvl w:ilvl="8" w:tplc="9962EC3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E2BA5"/>
    <w:multiLevelType w:val="hybridMultilevel"/>
    <w:tmpl w:val="2F6C902E"/>
    <w:lvl w:ilvl="0" w:tplc="B3B6BB9E">
      <w:start w:val="1"/>
      <w:numFmt w:val="decimal"/>
      <w:lvlText w:val="%1."/>
      <w:lvlJc w:val="left"/>
    </w:lvl>
    <w:lvl w:ilvl="1" w:tplc="2F148746">
      <w:start w:val="1"/>
      <w:numFmt w:val="lowerLetter"/>
      <w:lvlText w:val="%2."/>
      <w:lvlJc w:val="left"/>
      <w:pPr>
        <w:ind w:left="1440" w:hanging="360"/>
      </w:pPr>
    </w:lvl>
    <w:lvl w:ilvl="2" w:tplc="0D6ADB1E">
      <w:start w:val="1"/>
      <w:numFmt w:val="lowerRoman"/>
      <w:lvlText w:val="%3."/>
      <w:lvlJc w:val="right"/>
      <w:pPr>
        <w:ind w:left="2160" w:hanging="180"/>
      </w:pPr>
    </w:lvl>
    <w:lvl w:ilvl="3" w:tplc="C284C344">
      <w:start w:val="1"/>
      <w:numFmt w:val="decimal"/>
      <w:lvlText w:val="%4."/>
      <w:lvlJc w:val="left"/>
      <w:pPr>
        <w:ind w:left="2880" w:hanging="360"/>
      </w:pPr>
    </w:lvl>
    <w:lvl w:ilvl="4" w:tplc="B300A254">
      <w:start w:val="1"/>
      <w:numFmt w:val="lowerLetter"/>
      <w:lvlText w:val="%5."/>
      <w:lvlJc w:val="left"/>
      <w:pPr>
        <w:ind w:left="3600" w:hanging="360"/>
      </w:pPr>
    </w:lvl>
    <w:lvl w:ilvl="5" w:tplc="E45C59F8">
      <w:start w:val="1"/>
      <w:numFmt w:val="lowerRoman"/>
      <w:lvlText w:val="%6."/>
      <w:lvlJc w:val="right"/>
      <w:pPr>
        <w:ind w:left="4320" w:hanging="180"/>
      </w:pPr>
    </w:lvl>
    <w:lvl w:ilvl="6" w:tplc="FBF45EB0">
      <w:start w:val="1"/>
      <w:numFmt w:val="decimal"/>
      <w:lvlText w:val="%7."/>
      <w:lvlJc w:val="left"/>
      <w:pPr>
        <w:ind w:left="5040" w:hanging="360"/>
      </w:pPr>
    </w:lvl>
    <w:lvl w:ilvl="7" w:tplc="DBAC1070">
      <w:start w:val="1"/>
      <w:numFmt w:val="lowerLetter"/>
      <w:lvlText w:val="%8."/>
      <w:lvlJc w:val="left"/>
      <w:pPr>
        <w:ind w:left="5760" w:hanging="360"/>
      </w:pPr>
    </w:lvl>
    <w:lvl w:ilvl="8" w:tplc="D4184B2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87904"/>
    <w:multiLevelType w:val="hybridMultilevel"/>
    <w:tmpl w:val="C5D89DB0"/>
    <w:lvl w:ilvl="0" w:tplc="F5D0AE0E">
      <w:start w:val="1"/>
      <w:numFmt w:val="decimal"/>
      <w:lvlText w:val="%1."/>
      <w:lvlJc w:val="left"/>
    </w:lvl>
    <w:lvl w:ilvl="1" w:tplc="F17E1D78">
      <w:start w:val="1"/>
      <w:numFmt w:val="lowerLetter"/>
      <w:lvlText w:val="%2."/>
      <w:lvlJc w:val="left"/>
      <w:pPr>
        <w:ind w:left="1440" w:hanging="360"/>
      </w:pPr>
    </w:lvl>
    <w:lvl w:ilvl="2" w:tplc="C8446C4E">
      <w:start w:val="1"/>
      <w:numFmt w:val="lowerRoman"/>
      <w:lvlText w:val="%3."/>
      <w:lvlJc w:val="right"/>
      <w:pPr>
        <w:ind w:left="2160" w:hanging="180"/>
      </w:pPr>
    </w:lvl>
    <w:lvl w:ilvl="3" w:tplc="6BBEF7BE">
      <w:start w:val="1"/>
      <w:numFmt w:val="decimal"/>
      <w:lvlText w:val="%4."/>
      <w:lvlJc w:val="left"/>
      <w:pPr>
        <w:ind w:left="2880" w:hanging="360"/>
      </w:pPr>
    </w:lvl>
    <w:lvl w:ilvl="4" w:tplc="DB1C5484">
      <w:start w:val="1"/>
      <w:numFmt w:val="lowerLetter"/>
      <w:lvlText w:val="%5."/>
      <w:lvlJc w:val="left"/>
      <w:pPr>
        <w:ind w:left="3600" w:hanging="360"/>
      </w:pPr>
    </w:lvl>
    <w:lvl w:ilvl="5" w:tplc="DBE8F000">
      <w:start w:val="1"/>
      <w:numFmt w:val="lowerRoman"/>
      <w:lvlText w:val="%6."/>
      <w:lvlJc w:val="right"/>
      <w:pPr>
        <w:ind w:left="4320" w:hanging="180"/>
      </w:pPr>
    </w:lvl>
    <w:lvl w:ilvl="6" w:tplc="E3501B2E">
      <w:start w:val="1"/>
      <w:numFmt w:val="decimal"/>
      <w:lvlText w:val="%7."/>
      <w:lvlJc w:val="left"/>
      <w:pPr>
        <w:ind w:left="5040" w:hanging="360"/>
      </w:pPr>
    </w:lvl>
    <w:lvl w:ilvl="7" w:tplc="39E44128">
      <w:start w:val="1"/>
      <w:numFmt w:val="lowerLetter"/>
      <w:lvlText w:val="%8."/>
      <w:lvlJc w:val="left"/>
      <w:pPr>
        <w:ind w:left="5760" w:hanging="360"/>
      </w:pPr>
    </w:lvl>
    <w:lvl w:ilvl="8" w:tplc="0672A8E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F3DD5"/>
    <w:multiLevelType w:val="hybridMultilevel"/>
    <w:tmpl w:val="C4627278"/>
    <w:lvl w:ilvl="0" w:tplc="FFF27AE6">
      <w:start w:val="1"/>
      <w:numFmt w:val="decimal"/>
      <w:lvlText w:val="%1."/>
      <w:lvlJc w:val="left"/>
    </w:lvl>
    <w:lvl w:ilvl="1" w:tplc="61C64500">
      <w:start w:val="1"/>
      <w:numFmt w:val="lowerLetter"/>
      <w:lvlText w:val="%2."/>
      <w:lvlJc w:val="left"/>
      <w:pPr>
        <w:ind w:left="1440" w:hanging="360"/>
      </w:pPr>
    </w:lvl>
    <w:lvl w:ilvl="2" w:tplc="6C321BB2">
      <w:start w:val="1"/>
      <w:numFmt w:val="lowerRoman"/>
      <w:lvlText w:val="%3."/>
      <w:lvlJc w:val="right"/>
      <w:pPr>
        <w:ind w:left="2160" w:hanging="180"/>
      </w:pPr>
    </w:lvl>
    <w:lvl w:ilvl="3" w:tplc="F3BE51DA">
      <w:start w:val="1"/>
      <w:numFmt w:val="decimal"/>
      <w:lvlText w:val="%4."/>
      <w:lvlJc w:val="left"/>
      <w:pPr>
        <w:ind w:left="2880" w:hanging="360"/>
      </w:pPr>
    </w:lvl>
    <w:lvl w:ilvl="4" w:tplc="761A6766">
      <w:start w:val="1"/>
      <w:numFmt w:val="lowerLetter"/>
      <w:lvlText w:val="%5."/>
      <w:lvlJc w:val="left"/>
      <w:pPr>
        <w:ind w:left="3600" w:hanging="360"/>
      </w:pPr>
    </w:lvl>
    <w:lvl w:ilvl="5" w:tplc="1F845966">
      <w:start w:val="1"/>
      <w:numFmt w:val="lowerRoman"/>
      <w:lvlText w:val="%6."/>
      <w:lvlJc w:val="right"/>
      <w:pPr>
        <w:ind w:left="4320" w:hanging="180"/>
      </w:pPr>
    </w:lvl>
    <w:lvl w:ilvl="6" w:tplc="0F023FAA">
      <w:start w:val="1"/>
      <w:numFmt w:val="decimal"/>
      <w:lvlText w:val="%7."/>
      <w:lvlJc w:val="left"/>
      <w:pPr>
        <w:ind w:left="5040" w:hanging="360"/>
      </w:pPr>
    </w:lvl>
    <w:lvl w:ilvl="7" w:tplc="E1CE24CE">
      <w:start w:val="1"/>
      <w:numFmt w:val="lowerLetter"/>
      <w:lvlText w:val="%8."/>
      <w:lvlJc w:val="left"/>
      <w:pPr>
        <w:ind w:left="5760" w:hanging="360"/>
      </w:pPr>
    </w:lvl>
    <w:lvl w:ilvl="8" w:tplc="412EF5F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83E"/>
    <w:rsid w:val="00087528"/>
    <w:rsid w:val="0009525C"/>
    <w:rsid w:val="000A0A33"/>
    <w:rsid w:val="000B12C8"/>
    <w:rsid w:val="00247E2B"/>
    <w:rsid w:val="00294775"/>
    <w:rsid w:val="002F2A5F"/>
    <w:rsid w:val="005B6414"/>
    <w:rsid w:val="005C61CE"/>
    <w:rsid w:val="006A7AC9"/>
    <w:rsid w:val="006C3397"/>
    <w:rsid w:val="006E0F4C"/>
    <w:rsid w:val="00766847"/>
    <w:rsid w:val="007B38A5"/>
    <w:rsid w:val="008F4FC8"/>
    <w:rsid w:val="00934CF9"/>
    <w:rsid w:val="009E2980"/>
    <w:rsid w:val="00A25798"/>
    <w:rsid w:val="00A4783E"/>
    <w:rsid w:val="00B4449D"/>
    <w:rsid w:val="00B62417"/>
    <w:rsid w:val="00B76810"/>
    <w:rsid w:val="00B96CB6"/>
    <w:rsid w:val="00BE413D"/>
    <w:rsid w:val="00C0515C"/>
    <w:rsid w:val="00C418A6"/>
    <w:rsid w:val="00CC73D0"/>
    <w:rsid w:val="00CE25A0"/>
    <w:rsid w:val="00E67C9D"/>
    <w:rsid w:val="00EA5BA8"/>
    <w:rsid w:val="00ED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C1F7"/>
  <w15:docId w15:val="{CB939B4D-BEA2-4583-9B6A-355A18C5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rFonts w:ascii="Times New Roman" w:hAnsi="Times New Roman"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Верхний колонтитул Знак;Знак Знак"/>
    <w:link w:val="afb"/>
    <w:uiPriority w:val="99"/>
    <w:rPr>
      <w:sz w:val="28"/>
      <w:szCs w:val="28"/>
      <w:lang w:val="ru-RU" w:eastAsia="ru-RU" w:bidi="ar-SA"/>
    </w:rPr>
  </w:style>
  <w:style w:type="paragraph" w:customStyle="1" w:styleId="afb">
    <w:name w:val="Верхний колонтитул;Знак"/>
    <w:basedOn w:val="a"/>
    <w:link w:val="afa"/>
    <w:uiPriority w:val="99"/>
    <w:pPr>
      <w:tabs>
        <w:tab w:val="center" w:pos="4153"/>
        <w:tab w:val="right" w:pos="8306"/>
      </w:tabs>
    </w:pPr>
  </w:style>
  <w:style w:type="character" w:customStyle="1" w:styleId="25">
    <w:name w:val="Основной текст 2 Знак"/>
    <w:link w:val="26"/>
    <w:rPr>
      <w:sz w:val="28"/>
      <w:szCs w:val="28"/>
      <w:lang w:val="ru-RU" w:eastAsia="ru-RU" w:bidi="ar-SA"/>
    </w:rPr>
  </w:style>
  <w:style w:type="paragraph" w:styleId="26">
    <w:name w:val="Body Text 2"/>
    <w:basedOn w:val="a"/>
    <w:link w:val="25"/>
    <w:pPr>
      <w:jc w:val="both"/>
    </w:pPr>
  </w:style>
  <w:style w:type="character" w:customStyle="1" w:styleId="iceouttxt1">
    <w:name w:val="iceouttxt1"/>
    <w:rPr>
      <w:rFonts w:ascii="Arial" w:hAnsi="Arial" w:cs="Arial"/>
      <w:color w:val="666666"/>
      <w:sz w:val="14"/>
      <w:szCs w:val="14"/>
    </w:rPr>
  </w:style>
  <w:style w:type="paragraph" w:styleId="afc">
    <w:name w:val="Balloon Text"/>
    <w:basedOn w:val="a"/>
    <w:link w:val="afd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  <w:style w:type="character" w:customStyle="1" w:styleId="ae">
    <w:name w:val="Нижний колонтитул Знак"/>
    <w:link w:val="a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chln</dc:creator>
  <cp:lastModifiedBy>Шупик Татьяна Владимировна</cp:lastModifiedBy>
  <cp:revision>45</cp:revision>
  <dcterms:created xsi:type="dcterms:W3CDTF">2019-07-02T09:16:00Z</dcterms:created>
  <dcterms:modified xsi:type="dcterms:W3CDTF">2023-06-22T03:22:00Z</dcterms:modified>
  <cp:version>1048576</cp:version>
</cp:coreProperties>
</file>